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EE0C83" w:rsidRPr="00002854">
      <w:pPr>
        <w:ind w:firstLine="567"/>
        <w:jc w:val="center"/>
        <w:rPr>
          <w:b/>
          <w:sz w:val="28"/>
          <w:szCs w:val="28"/>
        </w:rPr>
      </w:pPr>
      <w:r w:rsidRPr="00002854">
        <w:rPr>
          <w:b/>
          <w:sz w:val="28"/>
          <w:szCs w:val="28"/>
        </w:rPr>
        <w:t>РЕШЕНИЕ</w:t>
      </w:r>
    </w:p>
    <w:p w:rsidR="00EE0C83" w:rsidRPr="00002854">
      <w:pPr>
        <w:ind w:firstLine="567"/>
        <w:jc w:val="center"/>
        <w:rPr>
          <w:b/>
          <w:sz w:val="28"/>
          <w:szCs w:val="28"/>
        </w:rPr>
      </w:pPr>
      <w:r w:rsidRPr="00002854">
        <w:rPr>
          <w:b/>
          <w:sz w:val="28"/>
          <w:szCs w:val="28"/>
        </w:rPr>
        <w:t>ИМЕНЕМ РОССИЙСКОЙ ФЕДЕРАЦИИ</w:t>
      </w:r>
    </w:p>
    <w:p w:rsidR="00EE0C83" w:rsidRPr="004204BA">
      <w:pPr>
        <w:ind w:firstLine="567"/>
        <w:jc w:val="center"/>
        <w:rPr>
          <w:b/>
          <w:sz w:val="14"/>
          <w:szCs w:val="28"/>
        </w:rPr>
      </w:pPr>
    </w:p>
    <w:p w:rsidR="00EE0C83" w:rsidRPr="00002854" w:rsidP="002844A1">
      <w:pPr>
        <w:jc w:val="both"/>
        <w:rPr>
          <w:sz w:val="28"/>
          <w:szCs w:val="28"/>
        </w:rPr>
      </w:pPr>
      <w:r w:rsidRPr="00002854">
        <w:rPr>
          <w:sz w:val="28"/>
          <w:szCs w:val="28"/>
        </w:rPr>
        <w:t xml:space="preserve">г.Ханты-Мансийск                                                            </w:t>
      </w:r>
      <w:r w:rsidRPr="00002854" w:rsidR="00BB5BEF">
        <w:rPr>
          <w:sz w:val="28"/>
          <w:szCs w:val="28"/>
        </w:rPr>
        <w:t xml:space="preserve">        </w:t>
      </w:r>
      <w:r w:rsidR="00002854">
        <w:rPr>
          <w:sz w:val="28"/>
          <w:szCs w:val="28"/>
        </w:rPr>
        <w:t xml:space="preserve">      </w:t>
      </w:r>
      <w:r w:rsidRPr="00002854">
        <w:rPr>
          <w:sz w:val="28"/>
          <w:szCs w:val="28"/>
        </w:rPr>
        <w:t xml:space="preserve"> </w:t>
      </w:r>
      <w:r w:rsidR="00D33FB6">
        <w:rPr>
          <w:sz w:val="28"/>
          <w:szCs w:val="28"/>
        </w:rPr>
        <w:t>24</w:t>
      </w:r>
      <w:r w:rsidR="00A80C5D">
        <w:rPr>
          <w:sz w:val="28"/>
          <w:szCs w:val="28"/>
        </w:rPr>
        <w:t xml:space="preserve"> июня</w:t>
      </w:r>
      <w:r w:rsidRPr="00002854" w:rsidR="008E6B94">
        <w:rPr>
          <w:sz w:val="28"/>
          <w:szCs w:val="28"/>
        </w:rPr>
        <w:t xml:space="preserve"> 202</w:t>
      </w:r>
      <w:r w:rsidRPr="00002854" w:rsidR="00313D0B">
        <w:rPr>
          <w:sz w:val="28"/>
          <w:szCs w:val="28"/>
        </w:rPr>
        <w:t>6</w:t>
      </w:r>
      <w:r w:rsidRPr="00002854">
        <w:rPr>
          <w:sz w:val="28"/>
          <w:szCs w:val="28"/>
        </w:rPr>
        <w:t xml:space="preserve"> года</w:t>
      </w:r>
    </w:p>
    <w:p w:rsidR="00EE0C83" w:rsidRPr="004204BA" w:rsidP="002844A1">
      <w:pPr>
        <w:ind w:firstLine="567"/>
        <w:jc w:val="both"/>
        <w:rPr>
          <w:sz w:val="14"/>
          <w:szCs w:val="28"/>
        </w:rPr>
      </w:pPr>
    </w:p>
    <w:p w:rsidR="00D33FB6" w:rsidRPr="00D33FB6" w:rsidP="00D33FB6">
      <w:pPr>
        <w:pStyle w:val="BodyText2"/>
        <w:shd w:val="clear" w:color="auto" w:fill="FFFFFF"/>
        <w:spacing w:after="0" w:line="240" w:lineRule="auto"/>
        <w:ind w:firstLine="567"/>
        <w:jc w:val="both"/>
        <w:rPr>
          <w:sz w:val="28"/>
        </w:rPr>
      </w:pPr>
      <w:r w:rsidRPr="00D33FB6">
        <w:rPr>
          <w:sz w:val="28"/>
        </w:rPr>
        <w:t>Мировой судья судебного участка №4 Ханты-Мансийского судебного района ХМАО-Югры Горленко Е.В., исполняющий обязанности мирового судьи судебного участка №1 Ханты-Мансийского судебного района ХМАО-Югры,</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рассмотрев в порядке упрощённого производства гражданское дело </w:t>
      </w:r>
      <w:r w:rsidRPr="001B2654">
        <w:rPr>
          <w:sz w:val="28"/>
          <w:szCs w:val="28"/>
        </w:rPr>
        <w:t>№ 2-</w:t>
      </w:r>
      <w:r w:rsidR="00EA3361">
        <w:rPr>
          <w:sz w:val="28"/>
          <w:szCs w:val="28"/>
        </w:rPr>
        <w:t>***</w:t>
      </w:r>
      <w:r w:rsidRPr="001B2654">
        <w:rPr>
          <w:sz w:val="28"/>
          <w:szCs w:val="28"/>
        </w:rPr>
        <w:t>-280</w:t>
      </w:r>
      <w:r>
        <w:rPr>
          <w:sz w:val="28"/>
          <w:szCs w:val="28"/>
        </w:rPr>
        <w:t>1</w:t>
      </w:r>
      <w:r w:rsidRPr="001B2654">
        <w:rPr>
          <w:sz w:val="28"/>
          <w:szCs w:val="28"/>
        </w:rPr>
        <w:t xml:space="preserve">/2026 по иску </w:t>
      </w:r>
      <w:r w:rsidRPr="00D33FB6">
        <w:rPr>
          <w:sz w:val="28"/>
          <w:szCs w:val="28"/>
        </w:rPr>
        <w:t xml:space="preserve">по иску Югорского фонда капитального ремонта многоквартирных домов (ИНН 8601999247, ОГРН 1138600001693) к </w:t>
      </w:r>
      <w:r w:rsidRPr="00D33FB6">
        <w:rPr>
          <w:sz w:val="28"/>
          <w:szCs w:val="28"/>
        </w:rPr>
        <w:t>Айдуковой</w:t>
      </w:r>
      <w:r w:rsidRPr="00D33FB6">
        <w:rPr>
          <w:sz w:val="28"/>
          <w:szCs w:val="28"/>
        </w:rPr>
        <w:t xml:space="preserve"> </w:t>
      </w:r>
      <w:r w:rsidR="00EA3361">
        <w:rPr>
          <w:sz w:val="28"/>
          <w:szCs w:val="28"/>
        </w:rPr>
        <w:t>Е.В.</w:t>
      </w:r>
      <w:r w:rsidRPr="00D33FB6">
        <w:rPr>
          <w:sz w:val="28"/>
          <w:szCs w:val="28"/>
        </w:rPr>
        <w:t xml:space="preserve"> (паспорт </w:t>
      </w:r>
      <w:r w:rsidR="00EA3361">
        <w:rPr>
          <w:sz w:val="28"/>
          <w:szCs w:val="28"/>
        </w:rPr>
        <w:t>****</w:t>
      </w:r>
      <w:r w:rsidRPr="00D33FB6">
        <w:rPr>
          <w:sz w:val="28"/>
          <w:szCs w:val="28"/>
        </w:rPr>
        <w:t>) о взыскании задолженности по взносам на капитальный ремонт общего имущества в многоквартирном доме,</w:t>
      </w:r>
    </w:p>
    <w:p w:rsidR="00D33FB6" w:rsidRPr="00D33FB6" w:rsidP="00D33FB6">
      <w:pPr>
        <w:ind w:firstLine="567"/>
        <w:jc w:val="center"/>
        <w:rPr>
          <w:b/>
          <w:sz w:val="28"/>
          <w:szCs w:val="28"/>
        </w:rPr>
      </w:pPr>
    </w:p>
    <w:p w:rsidR="00D33FB6" w:rsidRPr="00D33FB6" w:rsidP="00D33FB6">
      <w:pPr>
        <w:ind w:firstLine="567"/>
        <w:jc w:val="center"/>
        <w:rPr>
          <w:b/>
          <w:sz w:val="28"/>
          <w:szCs w:val="28"/>
        </w:rPr>
      </w:pPr>
      <w:r w:rsidRPr="00D33FB6">
        <w:rPr>
          <w:b/>
          <w:sz w:val="28"/>
          <w:szCs w:val="28"/>
        </w:rPr>
        <w:t>УСТАНОВИЛ:</w:t>
      </w:r>
    </w:p>
    <w:p w:rsidR="00D33FB6" w:rsidRPr="00D33FB6" w:rsidP="00D33FB6">
      <w:pPr>
        <w:pStyle w:val="BodyText2"/>
        <w:shd w:val="clear" w:color="auto" w:fill="FFFFFF"/>
        <w:spacing w:after="0" w:line="240" w:lineRule="auto"/>
        <w:ind w:firstLine="567"/>
        <w:jc w:val="both"/>
        <w:rPr>
          <w:sz w:val="28"/>
          <w:szCs w:val="28"/>
        </w:rPr>
      </w:pP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Югорский фонд капитального ремонта многоквартирных домов обратился в суд с иском к </w:t>
      </w:r>
      <w:r w:rsidRPr="00D33FB6">
        <w:rPr>
          <w:sz w:val="28"/>
          <w:szCs w:val="28"/>
        </w:rPr>
        <w:t>Айдуковой</w:t>
      </w:r>
      <w:r w:rsidRPr="00D33FB6">
        <w:rPr>
          <w:sz w:val="28"/>
          <w:szCs w:val="28"/>
        </w:rPr>
        <w:t xml:space="preserve"> Е.В. о взыскании задолженности по взносам на капитальный ремонт общего имущества в многоквартирном доме, расположенном по адресу: г. Ханты-Мансийск, ул. </w:t>
      </w:r>
      <w:r w:rsidR="00EA3361">
        <w:rPr>
          <w:sz w:val="28"/>
          <w:szCs w:val="28"/>
        </w:rPr>
        <w:t>***</w:t>
      </w:r>
      <w:r w:rsidRPr="00D33FB6">
        <w:rPr>
          <w:sz w:val="28"/>
          <w:szCs w:val="28"/>
        </w:rPr>
        <w:t xml:space="preserve">, д. </w:t>
      </w:r>
      <w:r w:rsidR="00EA3361">
        <w:rPr>
          <w:sz w:val="28"/>
          <w:szCs w:val="28"/>
        </w:rPr>
        <w:t>***</w:t>
      </w:r>
      <w:r w:rsidRPr="00D33FB6">
        <w:rPr>
          <w:sz w:val="28"/>
          <w:szCs w:val="28"/>
        </w:rPr>
        <w:t>, за период с 01.12.2021 по 28.02.2025 в размере 21 906,16 руб., пени за просрочку уплаты взносов за период с 01.12.2021 по 31.03.2025 в размере 3 659,36 руб., а также расходов по уплате государственной пошлины в размере 4 000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В обоснование иска указано, что ответчик является собственником жилого помещения (квартиры) площадью 55,2 </w:t>
      </w:r>
      <w:r w:rsidRPr="00D33FB6">
        <w:rPr>
          <w:sz w:val="28"/>
          <w:szCs w:val="28"/>
        </w:rPr>
        <w:t>кв.м</w:t>
      </w:r>
      <w:r w:rsidRPr="00D33FB6">
        <w:rPr>
          <w:sz w:val="28"/>
          <w:szCs w:val="28"/>
        </w:rPr>
        <w:t xml:space="preserve"> по указанному адресу. Многоквартирный дом включён в региональную программу капитального ремонта, собственники не выбрали способ формирования фонда капитального ремонта, в связи с чем фонд формируется на счёте регионального оператора – истца. Ответчик обязан уплачивать взносы на капитальный ремонт, однако за период с 01.12.2021 по 28.02.2025 образовалась задолженность. На сумму долга начислены пени в соответствии с ч. 14.1 ст. 155 ЖК РФ.</w:t>
      </w:r>
    </w:p>
    <w:p w:rsidR="00D33FB6" w:rsidRPr="001B2654" w:rsidP="00D33FB6">
      <w:pPr>
        <w:pStyle w:val="BodyText2"/>
        <w:shd w:val="clear" w:color="auto" w:fill="FFFFFF"/>
        <w:spacing w:after="0" w:line="240" w:lineRule="auto"/>
        <w:ind w:firstLine="567"/>
        <w:jc w:val="both"/>
        <w:rPr>
          <w:sz w:val="28"/>
          <w:szCs w:val="28"/>
        </w:rPr>
      </w:pPr>
      <w:r w:rsidRPr="00D33FB6">
        <w:rPr>
          <w:sz w:val="28"/>
          <w:szCs w:val="28"/>
        </w:rPr>
        <w:t>Исковое заявление поступило в суд 06.05.2026, принято к производству 08.05.2026, дело назначено к рассмотрению в порядке упрощённого производства.</w:t>
      </w:r>
      <w:r>
        <w:rPr>
          <w:sz w:val="28"/>
          <w:szCs w:val="28"/>
        </w:rPr>
        <w:t xml:space="preserve"> </w:t>
      </w:r>
      <w:r w:rsidRPr="001B2654">
        <w:rPr>
          <w:sz w:val="28"/>
          <w:szCs w:val="28"/>
        </w:rPr>
        <w:t xml:space="preserve">Копия определения направлена </w:t>
      </w:r>
      <w:r>
        <w:rPr>
          <w:sz w:val="28"/>
          <w:szCs w:val="28"/>
        </w:rPr>
        <w:t>сторонам</w:t>
      </w:r>
      <w:r w:rsidRPr="001B2654">
        <w:rPr>
          <w:sz w:val="28"/>
          <w:szCs w:val="28"/>
        </w:rPr>
        <w:t>. Стороны также извещены публично (сайт суда).</w:t>
      </w:r>
      <w:r>
        <w:rPr>
          <w:sz w:val="28"/>
          <w:szCs w:val="28"/>
        </w:rPr>
        <w:t xml:space="preserve"> Кроме того, от ответчика поступили письменные возражения, что подтверждает факт его уведомления о рассмотрении дела. </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Ответчик представила письменные возражения, в которых заявила о пропуске истцом срока исковой давности, несоблюдении досудебного порядка, отсутствии доказательств формирования фонда на счёте регионального оператора, необоснованности расчёта пени, а также указала на отсутствие надлежащего уведомления о задолженности и на мораторий на начисление пени. Ответчик 22.05.2026 ознакомилась с материалами дела, что подтверждается её ходатайством с собственноручной записью об ознакомлении, в связи с чем все расчёты и выписки по лицевому счёту ей были известны.</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Исследовав письменные материалы дела, оценив представленные </w:t>
      </w:r>
      <w:r w:rsidRPr="00D33FB6">
        <w:rPr>
          <w:sz w:val="28"/>
          <w:szCs w:val="28"/>
        </w:rPr>
        <w:t>доказательства в их совокупности, мировой судья приходит к следующему.</w:t>
      </w:r>
    </w:p>
    <w:p w:rsidR="00D33FB6" w:rsidRPr="00D33FB6" w:rsidP="00D33FB6">
      <w:pPr>
        <w:pStyle w:val="BodyText2"/>
        <w:shd w:val="clear" w:color="auto" w:fill="FFFFFF"/>
        <w:spacing w:after="0" w:line="240" w:lineRule="auto"/>
        <w:ind w:firstLine="567"/>
        <w:jc w:val="both"/>
        <w:rPr>
          <w:sz w:val="28"/>
          <w:szCs w:val="28"/>
        </w:rPr>
      </w:pPr>
      <w:r>
        <w:rPr>
          <w:sz w:val="28"/>
          <w:szCs w:val="28"/>
        </w:rPr>
        <w:t>Судом</w:t>
      </w:r>
      <w:r w:rsidRPr="00D33FB6">
        <w:rPr>
          <w:sz w:val="28"/>
          <w:szCs w:val="28"/>
        </w:rPr>
        <w:t xml:space="preserve"> установлено, что ответчик </w:t>
      </w:r>
      <w:r w:rsidRPr="00D33FB6">
        <w:rPr>
          <w:sz w:val="28"/>
          <w:szCs w:val="28"/>
        </w:rPr>
        <w:t>Айдукова</w:t>
      </w:r>
      <w:r w:rsidRPr="00D33FB6">
        <w:rPr>
          <w:sz w:val="28"/>
          <w:szCs w:val="28"/>
        </w:rPr>
        <w:t xml:space="preserve"> Елена Витальевна является собственником жилого помещения (квартиры) площадью 55,2 </w:t>
      </w:r>
      <w:r w:rsidRPr="00D33FB6">
        <w:rPr>
          <w:sz w:val="28"/>
          <w:szCs w:val="28"/>
        </w:rPr>
        <w:t>кв.м</w:t>
      </w:r>
      <w:r w:rsidRPr="00D33FB6">
        <w:rPr>
          <w:sz w:val="28"/>
          <w:szCs w:val="28"/>
        </w:rPr>
        <w:t>, расположенного по адресу: Ханты-Мансийский автономный округ – Югра, г. Ханты-Ман</w:t>
      </w:r>
      <w:r>
        <w:rPr>
          <w:sz w:val="28"/>
          <w:szCs w:val="28"/>
        </w:rPr>
        <w:t xml:space="preserve">сийск, ул. </w:t>
      </w:r>
      <w:r w:rsidR="00EA3361">
        <w:rPr>
          <w:sz w:val="28"/>
          <w:szCs w:val="28"/>
        </w:rPr>
        <w:t>***</w:t>
      </w:r>
      <w:r>
        <w:rPr>
          <w:sz w:val="28"/>
          <w:szCs w:val="28"/>
        </w:rPr>
        <w:t xml:space="preserve">, д. </w:t>
      </w:r>
      <w:r w:rsidR="00EA3361">
        <w:rPr>
          <w:sz w:val="28"/>
          <w:szCs w:val="28"/>
        </w:rPr>
        <w:t>***</w:t>
      </w:r>
      <w:r>
        <w:rPr>
          <w:sz w:val="28"/>
          <w:szCs w:val="28"/>
        </w:rPr>
        <w:t xml:space="preserve">, кв. </w:t>
      </w:r>
      <w:r w:rsidR="00EA3361">
        <w:rPr>
          <w:sz w:val="28"/>
          <w:szCs w:val="28"/>
        </w:rPr>
        <w:t>***</w:t>
      </w:r>
      <w:r>
        <w:rPr>
          <w:sz w:val="28"/>
          <w:szCs w:val="28"/>
        </w:rPr>
        <w:t xml:space="preserve">. </w:t>
      </w:r>
      <w:r w:rsidRPr="00D33FB6">
        <w:rPr>
          <w:sz w:val="28"/>
          <w:szCs w:val="28"/>
        </w:rPr>
        <w:t>Данное обстоятельство подтверждается выпиской из Единого государственного реестра недвижимости и не оспаривается ответчиком.</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Многоквартирный дом, в котором расположено указанное жилое помещение, включён в региональную программу капитального ремонта общего имущества в многоквартирных домах на территории Ханты-Мансийского автономного округа – Югры, утверждённую Постановлением Правительства Ханты-Мансийского автономного округа – Югры от 25.12.2013 № 568-п. Региональная программа опубликована 31.12.2013.</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соответствии с частью 3 статьи 169 Жилищного кодекса Российской Федерации и пунктом 2 статьи 5 Закона Ханты-Мансийского автономного округа – Югры от 01.07.2013 № 54-оз «Об организации проведения капитального ремонта общего имущества в многоквартирных домах, расположенных на территории Ханты-Мансийского автономного округа – Югры» 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начиная с месяца, следующего за месяцем, в котором была официально опубликована утверждённая программа капитального ремонта, но не позднее 1 сентября 2014 года. Таким образом, у ответчика обязанность по уплате взносов возникла с 01.09.2014.</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Согласно части 3 статьи 170 Жилищного кодекса Российской Федерации собственники помещений в многоквартирном доме вправе выбрать способ формирования фонда капитального ремонта – на специальном счёте или на счёте регионального оператора. В случае, если собственники не выбрали способ формирования фонда или выбранный ими способ не был реализован, орган местного самоуправления принимает решение о формировании фонда капитального ремонта на счёте регионального оператора.</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Из материалов дела следует, что собственниками помещений в многоквартирном доме по адресу: ул. </w:t>
      </w:r>
      <w:r w:rsidR="00EA3361">
        <w:rPr>
          <w:sz w:val="28"/>
          <w:szCs w:val="28"/>
        </w:rPr>
        <w:t>***</w:t>
      </w:r>
      <w:r w:rsidRPr="00D33FB6">
        <w:rPr>
          <w:sz w:val="28"/>
          <w:szCs w:val="28"/>
        </w:rPr>
        <w:t xml:space="preserve">, д. </w:t>
      </w:r>
      <w:r w:rsidR="00EA3361">
        <w:rPr>
          <w:sz w:val="28"/>
          <w:szCs w:val="28"/>
        </w:rPr>
        <w:t>***</w:t>
      </w:r>
      <w:r w:rsidRPr="00D33FB6">
        <w:rPr>
          <w:sz w:val="28"/>
          <w:szCs w:val="28"/>
        </w:rPr>
        <w:t>, не был выбран и реализован способ формирования фонда капитального ремонта на специальном счёте. Доказательств обратного ответчиком не представлено. Следовательно, фонд капитального ремонта в отношении указанного многоквартирного дома формируется на счёте регионального оператора – Югорского фонда капитального ремонта многоквартирных домов.</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соответствии с частями 1, 2 статьи 171 Жилищного кодекса Российской Федерации, в случае формирования фонда капитального ремонта на счёте регионального оператора собственники помещений в многоквартирном доме уплачивают взносы на капитальный ремонт на основании платёжных документов, представленных региональным оператором, в сроки, установленные для внесения платы за жилое помещение и коммунальные услуги.</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Размер взноса на капитальный ремонт установлен приказами Департамента </w:t>
      </w:r>
      <w:r w:rsidRPr="00D33FB6">
        <w:rPr>
          <w:sz w:val="28"/>
          <w:szCs w:val="28"/>
        </w:rPr>
        <w:t>жилищно-коммунального комплекса и энергетики Ханты-Мансийского автономного округа – Югры на соответствующие периоды, что подтверждено материалами дела.</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Факт наличия задолженности по оплате взносов на капитальный ремонт за период с декабря 2021 года по февраль 2025 года подтверждается выпиской по лицевому счёту № 1057076, из которой следует, что ответчик не вносила платежи в указанный период. Размер начислений за каждый месяц подтверждён выпиской и не оспорен ответчиком по существу (возражения касались лишь применения срока исковой давности и порядка расчёта пеней).</w:t>
      </w:r>
    </w:p>
    <w:p w:rsidR="00D33FB6" w:rsidP="00D33FB6">
      <w:pPr>
        <w:pStyle w:val="BodyText2"/>
        <w:shd w:val="clear" w:color="auto" w:fill="FFFFFF"/>
        <w:spacing w:after="0" w:line="240" w:lineRule="auto"/>
        <w:ind w:firstLine="567"/>
        <w:jc w:val="both"/>
        <w:rPr>
          <w:sz w:val="28"/>
          <w:szCs w:val="28"/>
        </w:rPr>
      </w:pPr>
      <w:r>
        <w:rPr>
          <w:sz w:val="28"/>
          <w:szCs w:val="28"/>
        </w:rPr>
        <w:t xml:space="preserve">Однако доводы ответчика судом не принимаются. </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Довод о несоблюдении досудебно</w:t>
      </w:r>
      <w:r>
        <w:rPr>
          <w:sz w:val="28"/>
          <w:szCs w:val="28"/>
        </w:rPr>
        <w:t xml:space="preserve">го порядка урегулирования спора, </w:t>
      </w:r>
      <w:r w:rsidRPr="00D33FB6">
        <w:rPr>
          <w:sz w:val="28"/>
          <w:szCs w:val="28"/>
        </w:rPr>
        <w:t>является несостоятельным. Законодательством, в частности Жилищным кодексом Российской Федерации, не установлен обязательный досудебный порядок урегулирования спора о взыскании задолженности по взносам на капитальный ремонт. Требование о направлении претензии (уведомления) о наличии задолженности не предусмотрено нормами жилищного законодательства. Следовательно, основания для оставления искового заявления без рассмотрения по данному основанию отсутствуют.</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Довод об отсутствии доказательств формирования фонда капитального ремонта н</w:t>
      </w:r>
      <w:r>
        <w:rPr>
          <w:sz w:val="28"/>
          <w:szCs w:val="28"/>
        </w:rPr>
        <w:t xml:space="preserve">а счёте регионального оператора </w:t>
      </w:r>
      <w:r w:rsidRPr="00D33FB6">
        <w:rPr>
          <w:sz w:val="28"/>
          <w:szCs w:val="28"/>
        </w:rPr>
        <w:t xml:space="preserve">опровергается материалами дела. Истцом представлены выписка из реестра домов, в отношении которых фонд капитального ремонта формируется на счёте регионального оператора, а также сведения об отсутствии решения собственников о формировании фонда на специальном счёте. Ответчик, в свою очередь, не представила доказательств того, что собственниками помещений в многоквартирном доме по указанному адресу был выбран иной способ формирования фонда капитального ремонта. При таких обстоятельствах суд приходит к выводу, что фонд капитального ремонта в отношении дома № </w:t>
      </w:r>
      <w:r w:rsidR="00EA3361">
        <w:rPr>
          <w:sz w:val="28"/>
          <w:szCs w:val="28"/>
        </w:rPr>
        <w:t>***</w:t>
      </w:r>
      <w:r w:rsidRPr="00D33FB6">
        <w:rPr>
          <w:sz w:val="28"/>
          <w:szCs w:val="28"/>
        </w:rPr>
        <w:t xml:space="preserve"> по ул. </w:t>
      </w:r>
      <w:r w:rsidR="00EA3361">
        <w:rPr>
          <w:sz w:val="28"/>
          <w:szCs w:val="28"/>
        </w:rPr>
        <w:t>***</w:t>
      </w:r>
      <w:r w:rsidRPr="00D33FB6">
        <w:rPr>
          <w:sz w:val="28"/>
          <w:szCs w:val="28"/>
        </w:rPr>
        <w:t xml:space="preserve"> в г. Ханты-Мансийске формируется на счёте регионального оператора – истца.</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Довод об отсутствии надлежащего уведомления о задолженности</w:t>
      </w:r>
      <w:r>
        <w:rPr>
          <w:sz w:val="28"/>
          <w:szCs w:val="28"/>
        </w:rPr>
        <w:t xml:space="preserve"> </w:t>
      </w:r>
      <w:r w:rsidRPr="00D33FB6">
        <w:rPr>
          <w:sz w:val="28"/>
          <w:szCs w:val="28"/>
        </w:rPr>
        <w:t>также не может служить основанием для отказа в иске. Обязанность собственника помещения по уплате взносов на капитальный ремонт возникает в силу закона и не поставлена в зависимость от получения или неполучения платёжных документов. Собственник обязан самостоятельно отслеживать состояние расчётов по обязательным платежам. Более того, ответчик ознакомилась с материалами дела, в том числе с выписками по лицевому счёту, что подтверждается её ходатайством, и имела возможность проверить правильность начислений.</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Довод о необоснованности расчёта задолженности и </w:t>
      </w:r>
      <w:r>
        <w:rPr>
          <w:sz w:val="28"/>
          <w:szCs w:val="28"/>
        </w:rPr>
        <w:t xml:space="preserve">отсутствии первичных документов </w:t>
      </w:r>
      <w:r w:rsidRPr="00D33FB6">
        <w:rPr>
          <w:sz w:val="28"/>
          <w:szCs w:val="28"/>
        </w:rPr>
        <w:t xml:space="preserve">опровергается представленными истцом доказательствами. К исковому заявлению приложены выписка по лицевому счёту с помесячной детализацией начислений и платежей, а также выписка по пеням. Эти документы содержат все необходимые реквизиты и позволяют проверить правильность начислений. Ответчик, ознакомившись с материалами дела, не представила </w:t>
      </w:r>
      <w:r w:rsidRPr="00D33FB6">
        <w:rPr>
          <w:sz w:val="28"/>
          <w:szCs w:val="28"/>
        </w:rPr>
        <w:t>контррасчёт</w:t>
      </w:r>
      <w:r w:rsidRPr="00D33FB6">
        <w:rPr>
          <w:sz w:val="28"/>
          <w:szCs w:val="28"/>
        </w:rPr>
        <w:t xml:space="preserve"> или доказательства, опровергающие расчёт истца. При таких </w:t>
      </w:r>
      <w:r w:rsidRPr="00D33FB6">
        <w:rPr>
          <w:sz w:val="28"/>
          <w:szCs w:val="28"/>
        </w:rPr>
        <w:t>обстоятельствах расчёт истца признаётся обоснованным и достоверным.</w:t>
      </w:r>
    </w:p>
    <w:p w:rsidR="00D33FB6" w:rsidRPr="00D33FB6" w:rsidP="00D33FB6">
      <w:pPr>
        <w:pStyle w:val="BodyText2"/>
        <w:shd w:val="clear" w:color="auto" w:fill="FFFFFF"/>
        <w:spacing w:after="0" w:line="240" w:lineRule="auto"/>
        <w:ind w:firstLine="567"/>
        <w:jc w:val="both"/>
        <w:rPr>
          <w:sz w:val="28"/>
          <w:szCs w:val="28"/>
        </w:rPr>
      </w:pPr>
      <w:r>
        <w:rPr>
          <w:sz w:val="28"/>
          <w:szCs w:val="28"/>
        </w:rPr>
        <w:t>При этом, д</w:t>
      </w:r>
      <w:r w:rsidRPr="00D33FB6">
        <w:rPr>
          <w:sz w:val="28"/>
          <w:szCs w:val="28"/>
        </w:rPr>
        <w:t>овод о применении срока исковой давности</w:t>
      </w:r>
      <w:r>
        <w:rPr>
          <w:sz w:val="28"/>
          <w:szCs w:val="28"/>
        </w:rPr>
        <w:t xml:space="preserve"> </w:t>
      </w:r>
      <w:r w:rsidRPr="00D33FB6">
        <w:rPr>
          <w:sz w:val="28"/>
          <w:szCs w:val="28"/>
        </w:rPr>
        <w:t>является обоснованным в части и подлежит частичному удовлетворению.</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соответствии со статьями 196, 200 Гражданского кодекса Российской Федерации общий срок исковой давности составляет три года со дня, когда лицо узнало или должно было узнать о нарушении своего права. По обязательствам с определённым сроком исполнения течение срока исковой давности начинается по окончании срока исполнения.</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Взносы на капитальный ремонт являются периодическими платежами, срок уплаты которых установлен до 10-го числа месяца, следующего за расчётным (часть 1 статьи 155 Жилищного кодекса Российской Федерации). Следовательно, срок исковой давности по каждому месячному платежу исчисляется отдельно.</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Истец обратился в суд с иском 06.05.2026. Срок исковой давности по платежам со сроком уплаты до 06.05.2023 истёк. Платежи за апрель 2023 года (срок уплаты до 10.05.2023) на момент подачи иска не истекли, поскольку срок начинает течь с 11.05.2023 и истекает 11.05.2026.</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Таким образом, взысканию подлежит задолженность по взносам на капитальный ремонт за период с апреля 2023 года по февраль 2025 года.</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Согласно выписке по лицевому счёту, начисления по взносам на капитальный ремонт за указанный период составили:</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за апрель – декабрь 2023 года (9 месяцев) по 582,36 руб. в месяц – всего 5 241,24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за январь – декабрь 2024 года (12 месяцев) по 613,27 руб. в месяц – всего 7 359,24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за январь – февраль 2025 года (2 месяца) по 669,02 руб. в месяц – всего 1 338,04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Итого сумма основного долга, подлежащая взысканию за период с апреля 2023 по февраль 2025, составляет 13 938,52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удовлетворении требований о взыскании задолженности за период с декабря 2021 по март 2023 года следует отказать в связи с пропуском срока исковой давности.</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Ранее истец обращался с заявлением о вынесении судебного приказа (23.04.2025), который был отменён 24.04.2025. В соответствии со статьёй 204 Гражданского кодекса Российской Федерации срок исковой давности не течёт со дня обращения за судебной защитой. Однако данное обстоятельство не влияет на исчисление срока по платежам, срок уплаты которых истёк до 23.04.2022, поскольку на момент подачи приказа срок по ним уже истёк.</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Довод </w:t>
      </w:r>
      <w:r>
        <w:rPr>
          <w:sz w:val="28"/>
          <w:szCs w:val="28"/>
        </w:rPr>
        <w:t xml:space="preserve">ответчика о моратории на начисление пени </w:t>
      </w:r>
      <w:r w:rsidRPr="00D33FB6">
        <w:rPr>
          <w:sz w:val="28"/>
          <w:szCs w:val="28"/>
        </w:rPr>
        <w:t>не является основанием для освобождения от уплаты пени, однако суд учитывает, что Постановлением Правительства Российской Федерации от 26.03.2022 № 474 установлены особенности начисления пени, а именно применение ключевой ставки Центрального банка Российской Федерации, действовавшей на 27.02.2022 (9,5% годовых). Из представленной выписки по пеням следует, что начисление производилось исходя из ставки 9,5% годовых, что соответствует требованиям моратория. Таким образом, довод ответчика в этой части несостоятелен.</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соответствии с частью 14.1 статьи 155 Жилищного кодекса Российской Федерации за несвоевременную уплату взносов на капитальный ремонт подлежат уплате пени.</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Истец заявил требование о взыскании пени в размере 3 659,36 руб., начисленной за период с 01.12.2021 по 31.03.2025.</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Поскольку срок исковой давности по основному долгу за период до апреля 2023 года истёк, пени, начисленные на эту часть задолженности, также не подлежат взысканию. Суд производит перерасчёт пени исходя из суммы основного долга, подлежащей взысканию (13 938,52 руб.), и периода просрочки, относящегося к этой задолженности.</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Общая сумма основного долга, заявленная истцом (без учёта срока исковой давности), составляет 21 906,16 руб. Сумма пени, заявленная истцом, – 3 659,36 руб. Соотношение суммы основного долга, подлежащей взысканию (13 938,52 руб.), к общей сумме основного долга составляет 13 938,52 / 21 906,16 = 0,6363.</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Применяя данный коэффициент к сумме пени, получаем: 3 659,36 × 0,6363 = 2 328,45 руб. (с округлением до копеек).</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Таким образом, размер пени, подлежащей взысканию, составляет 2 328,45 руб.</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В соответствии со статьёй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понесённые по делу судебные расходы пропорционально размеру удовлетворённых требований.</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Истцом при подаче иска уплачена государственная пошлина в размере 4 000 руб. (платёжное поручение № 77851 от 19.12.2025).</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Исковые требования удовлетворены частично – на сумму 13 938,52 руб. (основной долг) + 2 328,45 руб. (пени) = 16 266,97 руб. Первоначальная цена иска составляла 25 565,52 руб. (21 906,16 + 3 659,36). Процент удовлетворения: 16 266,97 / 25 565,52 ≈ 0,6363.</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Следовательно, с ответчика в пользу истца подлежат взысканию расходы по уплате государственной пошлины в размере 4 000 × 0,6363 = 2 545,20 руб.</w:t>
      </w:r>
    </w:p>
    <w:p w:rsidR="00DF650D" w:rsidP="00DF650D">
      <w:pPr>
        <w:pStyle w:val="210"/>
        <w:ind w:firstLine="567"/>
        <w:jc w:val="both"/>
        <w:rPr>
          <w:rStyle w:val="11"/>
          <w:szCs w:val="28"/>
        </w:rPr>
      </w:pPr>
      <w:r>
        <w:rPr>
          <w:rStyle w:val="11"/>
          <w:szCs w:val="28"/>
        </w:rPr>
        <w:t>Руководствуясь ст.ст.12, 194-197, 232.4 Гражданского процессуального кодекса Российской Федерации, мировой судья</w:t>
      </w:r>
    </w:p>
    <w:p w:rsidR="00D33FB6" w:rsidRPr="00D33FB6" w:rsidP="00D33FB6">
      <w:pPr>
        <w:pStyle w:val="BodyText2"/>
        <w:shd w:val="clear" w:color="auto" w:fill="FFFFFF"/>
        <w:spacing w:after="0" w:line="240" w:lineRule="auto"/>
        <w:ind w:firstLine="567"/>
        <w:jc w:val="both"/>
        <w:rPr>
          <w:sz w:val="28"/>
          <w:szCs w:val="28"/>
        </w:rPr>
      </w:pPr>
    </w:p>
    <w:p w:rsidR="00D33FB6" w:rsidRPr="00D33FB6" w:rsidP="00D33FB6">
      <w:pPr>
        <w:ind w:firstLine="567"/>
        <w:jc w:val="center"/>
        <w:rPr>
          <w:b/>
          <w:sz w:val="28"/>
          <w:szCs w:val="28"/>
        </w:rPr>
      </w:pPr>
      <w:r w:rsidRPr="00D33FB6">
        <w:rPr>
          <w:b/>
          <w:sz w:val="28"/>
          <w:szCs w:val="28"/>
        </w:rPr>
        <w:t>РЕШИЛ:</w:t>
      </w:r>
    </w:p>
    <w:p w:rsidR="00D33FB6" w:rsidRPr="00D33FB6" w:rsidP="00D33FB6">
      <w:pPr>
        <w:pStyle w:val="BodyText2"/>
        <w:shd w:val="clear" w:color="auto" w:fill="FFFFFF"/>
        <w:spacing w:after="0" w:line="240" w:lineRule="auto"/>
        <w:ind w:firstLine="567"/>
        <w:jc w:val="both"/>
        <w:rPr>
          <w:sz w:val="28"/>
          <w:szCs w:val="28"/>
        </w:rPr>
      </w:pP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Исковые требования Югорского фонда капитального ремонта многоквартирных домов (ИНН 8601999247, ОГРН 1138600001693) к </w:t>
      </w:r>
      <w:r w:rsidRPr="00D33FB6">
        <w:rPr>
          <w:sz w:val="28"/>
          <w:szCs w:val="28"/>
        </w:rPr>
        <w:t>Айдуковой</w:t>
      </w:r>
      <w:r w:rsidRPr="00D33FB6">
        <w:rPr>
          <w:sz w:val="28"/>
          <w:szCs w:val="28"/>
        </w:rPr>
        <w:t xml:space="preserve"> </w:t>
      </w:r>
      <w:r w:rsidR="00EA3361">
        <w:rPr>
          <w:sz w:val="28"/>
          <w:szCs w:val="28"/>
        </w:rPr>
        <w:t>Е.В.</w:t>
      </w:r>
      <w:r w:rsidRPr="00D33FB6">
        <w:rPr>
          <w:sz w:val="28"/>
          <w:szCs w:val="28"/>
        </w:rPr>
        <w:t xml:space="preserve"> (паспорт </w:t>
      </w:r>
      <w:r w:rsidR="00EA3361">
        <w:rPr>
          <w:sz w:val="28"/>
          <w:szCs w:val="28"/>
        </w:rPr>
        <w:t>***</w:t>
      </w:r>
      <w:r w:rsidRPr="00D33FB6">
        <w:rPr>
          <w:sz w:val="28"/>
          <w:szCs w:val="28"/>
        </w:rPr>
        <w:t>) о взыскании задолженности по взносам на капитальный ремонт общего имущества в многоквартирном доме – удовлетворить частично.</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Взыскать с </w:t>
      </w:r>
      <w:r w:rsidRPr="00D33FB6">
        <w:rPr>
          <w:sz w:val="28"/>
          <w:szCs w:val="28"/>
        </w:rPr>
        <w:t>Айдуковой</w:t>
      </w:r>
      <w:r w:rsidRPr="00D33FB6">
        <w:rPr>
          <w:sz w:val="28"/>
          <w:szCs w:val="28"/>
        </w:rPr>
        <w:t xml:space="preserve"> </w:t>
      </w:r>
      <w:r w:rsidR="00EA3361">
        <w:rPr>
          <w:sz w:val="28"/>
          <w:szCs w:val="28"/>
        </w:rPr>
        <w:t>Е.В.</w:t>
      </w:r>
      <w:r w:rsidRPr="00D33FB6">
        <w:rPr>
          <w:sz w:val="28"/>
          <w:szCs w:val="28"/>
        </w:rPr>
        <w:t xml:space="preserve"> (паспорт </w:t>
      </w:r>
      <w:r w:rsidR="00EA3361">
        <w:rPr>
          <w:sz w:val="28"/>
          <w:szCs w:val="28"/>
        </w:rPr>
        <w:t>***</w:t>
      </w:r>
      <w:r w:rsidRPr="00D33FB6">
        <w:rPr>
          <w:sz w:val="28"/>
          <w:szCs w:val="28"/>
        </w:rPr>
        <w:t xml:space="preserve">) в пользу Югорского фонда капитального ремонта многоквартирных домов (ИНН 8601999247, ОГРН 1138600001693) задолженность по взносам на капитальный ремонт общего имущества в многоквартирном доме за период с апреля 2023 года по февраль 2025 года в размере 13 938 (тринадцать тысяч девятьсот тридцать восемь) рублей 52 копейки, пени за просрочку уплаты взносов за период с апреля </w:t>
      </w:r>
      <w:r w:rsidRPr="00D33FB6">
        <w:rPr>
          <w:sz w:val="28"/>
          <w:szCs w:val="28"/>
        </w:rPr>
        <w:t>2023 года по март 2025 года в размере 2 328 (две тысячи триста двадцать восемь) рублей 45 копеек, а всего 16 266 (шестнадцать тысяч двести шестьдесят шесть) рублей 97 копеек.</w:t>
      </w:r>
    </w:p>
    <w:p w:rsidR="00D33FB6" w:rsidRPr="00D33FB6" w:rsidP="00D33FB6">
      <w:pPr>
        <w:pStyle w:val="BodyText2"/>
        <w:shd w:val="clear" w:color="auto" w:fill="FFFFFF"/>
        <w:spacing w:after="0" w:line="240" w:lineRule="auto"/>
        <w:ind w:firstLine="567"/>
        <w:jc w:val="both"/>
        <w:rPr>
          <w:sz w:val="28"/>
          <w:szCs w:val="28"/>
        </w:rPr>
      </w:pPr>
      <w:r w:rsidRPr="00D33FB6">
        <w:rPr>
          <w:sz w:val="28"/>
          <w:szCs w:val="28"/>
        </w:rPr>
        <w:t xml:space="preserve">Взыскать с </w:t>
      </w:r>
      <w:r w:rsidRPr="00D33FB6">
        <w:rPr>
          <w:sz w:val="28"/>
          <w:szCs w:val="28"/>
        </w:rPr>
        <w:t>Айдуковой</w:t>
      </w:r>
      <w:r w:rsidRPr="00D33FB6">
        <w:rPr>
          <w:sz w:val="28"/>
          <w:szCs w:val="28"/>
        </w:rPr>
        <w:t xml:space="preserve"> </w:t>
      </w:r>
      <w:r w:rsidR="00EA3361">
        <w:rPr>
          <w:sz w:val="28"/>
          <w:szCs w:val="28"/>
        </w:rPr>
        <w:t>Е.В.</w:t>
      </w:r>
      <w:r w:rsidRPr="00D33FB6">
        <w:rPr>
          <w:sz w:val="28"/>
          <w:szCs w:val="28"/>
        </w:rPr>
        <w:t xml:space="preserve"> в пользу Югорского фонда капитального ремонта многоквартирных домов расходы по уплате государственной пошлины в размере 2 545 (две тысячи пятьсот сорок пять) рублей 20 копеек.</w:t>
      </w:r>
    </w:p>
    <w:p w:rsidR="00D33FB6" w:rsidRPr="00D33FB6" w:rsidP="00754C3B">
      <w:pPr>
        <w:pStyle w:val="BodyText2"/>
        <w:spacing w:after="0" w:line="240" w:lineRule="auto"/>
        <w:ind w:firstLine="567"/>
        <w:jc w:val="both"/>
        <w:rPr>
          <w:sz w:val="28"/>
          <w:szCs w:val="28"/>
        </w:rPr>
      </w:pPr>
      <w:r w:rsidRPr="00D33FB6">
        <w:rPr>
          <w:sz w:val="28"/>
          <w:szCs w:val="28"/>
        </w:rPr>
        <w:t>Общая сумма, подлежащая взысканию: 18 812 (восемнадцать тысяч восемьсот двенадцать) рублей 17 копеек.</w:t>
      </w:r>
    </w:p>
    <w:p w:rsidR="0000271C" w:rsidRPr="00D33FB6" w:rsidP="00754C3B">
      <w:pPr>
        <w:pStyle w:val="BodyText2"/>
        <w:spacing w:after="0" w:line="240" w:lineRule="auto"/>
        <w:ind w:firstLine="567"/>
        <w:jc w:val="both"/>
        <w:rPr>
          <w:sz w:val="28"/>
          <w:szCs w:val="28"/>
        </w:rPr>
      </w:pPr>
      <w:r w:rsidRPr="00754C3B">
        <w:rPr>
          <w:sz w:val="28"/>
          <w:szCs w:val="28"/>
        </w:rPr>
        <w:t>В удовлетворении остальной части исковых требований – отказать, а именно:</w:t>
      </w:r>
      <w:r>
        <w:rPr>
          <w:sz w:val="28"/>
          <w:szCs w:val="28"/>
        </w:rPr>
        <w:t xml:space="preserve"> </w:t>
      </w:r>
      <w:r w:rsidRPr="00754C3B">
        <w:rPr>
          <w:sz w:val="28"/>
          <w:szCs w:val="28"/>
        </w:rPr>
        <w:t>в части взыскания задолженности по взносам на капитальный ремонт за период с декабря 2021 года по март 2023 года в размере 7 967 (семь тысяч девятьсот шестьдесят семь) рублей 64 копейки;</w:t>
      </w:r>
      <w:r>
        <w:rPr>
          <w:sz w:val="28"/>
          <w:szCs w:val="28"/>
        </w:rPr>
        <w:t xml:space="preserve"> </w:t>
      </w:r>
      <w:r w:rsidRPr="00754C3B">
        <w:rPr>
          <w:sz w:val="28"/>
          <w:szCs w:val="28"/>
        </w:rPr>
        <w:t>в части взыскания пени за просрочку уплаты взносов за период с декабря 2021 года по март 2023 года в размере 1 330 (одна тысяча триста тридцать) рублей 91 копейка; в части взыскания расходов по уплате государственной пошлины в размере 1 454 (одна тысяча четыреста пя</w:t>
      </w:r>
      <w:r>
        <w:rPr>
          <w:sz w:val="28"/>
          <w:szCs w:val="28"/>
        </w:rPr>
        <w:t>тьдесят четыре) рубля 80 копеек</w:t>
      </w:r>
      <w:r w:rsidRPr="00D33FB6">
        <w:rPr>
          <w:sz w:val="28"/>
          <w:szCs w:val="28"/>
        </w:rPr>
        <w:t>.</w:t>
      </w:r>
    </w:p>
    <w:p w:rsidR="0000271C" w:rsidRPr="00C23D8B" w:rsidP="0000271C">
      <w:pPr>
        <w:pStyle w:val="BodyText2"/>
        <w:spacing w:after="0" w:line="240" w:lineRule="auto"/>
        <w:ind w:firstLine="567"/>
        <w:jc w:val="both"/>
        <w:rPr>
          <w:sz w:val="28"/>
          <w:szCs w:val="28"/>
        </w:rPr>
      </w:pPr>
      <w:r w:rsidRPr="00C23D8B">
        <w:rPr>
          <w:sz w:val="28"/>
          <w:szCs w:val="28"/>
        </w:rPr>
        <w:t xml:space="preserve">Решение по результатам рассмотрения дела в порядке упрощенного производства может быть обжаловано в Ханты-Мансийский районный суд Ханты-Мансийского автономного округа-Югры </w:t>
      </w:r>
      <w:r w:rsidRPr="00C23D8B">
        <w:rPr>
          <w:sz w:val="28"/>
          <w:szCs w:val="28"/>
        </w:rPr>
        <w:t>через мирового судью</w:t>
      </w:r>
      <w:r w:rsidRPr="00C23D8B">
        <w:rPr>
          <w:sz w:val="28"/>
          <w:szCs w:val="28"/>
        </w:rPr>
        <w:t xml:space="preserve"> судебного участка №</w:t>
      </w:r>
      <w:r w:rsidR="00DF650D">
        <w:rPr>
          <w:sz w:val="28"/>
          <w:szCs w:val="28"/>
        </w:rPr>
        <w:t>1</w:t>
      </w:r>
      <w:r w:rsidRPr="00C23D8B">
        <w:rPr>
          <w:sz w:val="28"/>
          <w:szCs w:val="28"/>
        </w:rPr>
        <w:t xml:space="preserve"> Ханты-Мансийского судебного района Ханты-Мансийского автономного округа-Югры в течение 15 дней со дня его принятия, а в случае составления мотивированного решения суда по заявлению лиц, участвующих в деле, их представителей - со дня принятия решения в окончательной форме.</w:t>
      </w:r>
    </w:p>
    <w:p w:rsidR="0000271C" w:rsidRPr="0047360B" w:rsidP="0000271C">
      <w:pPr>
        <w:pStyle w:val="BodyText2"/>
        <w:spacing w:after="0" w:line="240" w:lineRule="auto"/>
        <w:ind w:firstLine="567"/>
        <w:jc w:val="both"/>
        <w:rPr>
          <w:sz w:val="28"/>
        </w:rPr>
      </w:pPr>
      <w:r w:rsidRPr="0047360B">
        <w:rPr>
          <w:sz w:val="28"/>
        </w:rPr>
        <w:t xml:space="preserve">Решение суда по делу, рассмотренному в порядке упрощенного производства, вступает в законную силу по истечении пятнадцати дней со дня его принятия, если не поданы апелляционные жалоба, представление. </w:t>
      </w:r>
    </w:p>
    <w:p w:rsidR="0000271C" w:rsidRPr="00C23D8B" w:rsidP="0000271C">
      <w:pPr>
        <w:pStyle w:val="BodyText2"/>
        <w:spacing w:after="0" w:line="240" w:lineRule="auto"/>
        <w:ind w:firstLine="567"/>
        <w:jc w:val="both"/>
        <w:rPr>
          <w:sz w:val="28"/>
          <w:szCs w:val="28"/>
        </w:rPr>
      </w:pPr>
      <w:r w:rsidRPr="00C23D8B">
        <w:rPr>
          <w:sz w:val="28"/>
          <w:szCs w:val="28"/>
        </w:rPr>
        <w:t xml:space="preserve">Мотивированное решение составлено </w:t>
      </w:r>
      <w:r>
        <w:rPr>
          <w:sz w:val="28"/>
          <w:szCs w:val="28"/>
        </w:rPr>
        <w:t>24 июня</w:t>
      </w:r>
      <w:r w:rsidRPr="00C23D8B">
        <w:rPr>
          <w:sz w:val="28"/>
          <w:szCs w:val="28"/>
        </w:rPr>
        <w:t xml:space="preserve"> 2026 года. </w:t>
      </w:r>
    </w:p>
    <w:p w:rsidR="0047360B" w:rsidP="0047360B">
      <w:pPr>
        <w:jc w:val="both"/>
        <w:rPr>
          <w:sz w:val="16"/>
          <w:szCs w:val="28"/>
        </w:rPr>
      </w:pPr>
    </w:p>
    <w:p w:rsidR="0000271C" w:rsidP="0047360B">
      <w:pPr>
        <w:jc w:val="both"/>
        <w:rPr>
          <w:sz w:val="16"/>
          <w:szCs w:val="28"/>
        </w:rPr>
      </w:pPr>
    </w:p>
    <w:p w:rsidR="004204BA" w:rsidRPr="004204BA" w:rsidP="0047360B">
      <w:pPr>
        <w:jc w:val="both"/>
        <w:rPr>
          <w:sz w:val="16"/>
          <w:szCs w:val="28"/>
        </w:rPr>
      </w:pPr>
    </w:p>
    <w:p w:rsidR="0047360B" w:rsidRPr="004204BA" w:rsidP="0047360B">
      <w:pPr>
        <w:jc w:val="both"/>
        <w:rPr>
          <w:sz w:val="16"/>
          <w:szCs w:val="28"/>
        </w:rPr>
      </w:pPr>
    </w:p>
    <w:p w:rsidR="0047360B" w:rsidRPr="00002854" w:rsidP="0047360B">
      <w:pPr>
        <w:jc w:val="both"/>
        <w:rPr>
          <w:sz w:val="28"/>
          <w:szCs w:val="28"/>
        </w:rPr>
      </w:pPr>
      <w:r w:rsidRPr="00002854">
        <w:rPr>
          <w:sz w:val="28"/>
          <w:szCs w:val="28"/>
        </w:rPr>
        <w:t xml:space="preserve">Мировой судья                                                                              </w:t>
      </w:r>
      <w:r>
        <w:rPr>
          <w:sz w:val="28"/>
          <w:szCs w:val="28"/>
        </w:rPr>
        <w:t xml:space="preserve">          </w:t>
      </w:r>
      <w:r w:rsidRPr="00002854">
        <w:rPr>
          <w:sz w:val="28"/>
          <w:szCs w:val="28"/>
        </w:rPr>
        <w:t xml:space="preserve">    Е.В. Горленко</w:t>
      </w:r>
    </w:p>
    <w:p w:rsidR="0047360B" w:rsidRPr="00002854" w:rsidP="0047360B">
      <w:pPr>
        <w:jc w:val="both"/>
        <w:rPr>
          <w:sz w:val="28"/>
          <w:szCs w:val="28"/>
        </w:rPr>
      </w:pPr>
      <w:r>
        <w:rPr>
          <w:sz w:val="28"/>
          <w:szCs w:val="28"/>
        </w:rPr>
        <w:t xml:space="preserve"> </w:t>
      </w:r>
    </w:p>
    <w:sectPr w:rsidSect="00BB5BEF">
      <w:headerReference w:type="even" r:id="rId5"/>
      <w:footerReference w:type="default" r:id="rId6"/>
      <w:pgSz w:w="11906" w:h="16838" w:code="9"/>
      <w:pgMar w:top="1134" w:right="851" w:bottom="1134"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329613"/>
      <w:docPartObj>
        <w:docPartGallery w:val="Page Numbers (Bottom of Page)"/>
        <w:docPartUnique/>
      </w:docPartObj>
    </w:sdtPr>
    <w:sdtContent>
      <w:p w:rsidR="00002854">
        <w:pPr>
          <w:pStyle w:val="Footer"/>
          <w:jc w:val="center"/>
        </w:pPr>
        <w:r>
          <w:fldChar w:fldCharType="begin"/>
        </w:r>
        <w:r>
          <w:instrText>PAGE   \* MERGEFORMAT</w:instrText>
        </w:r>
        <w:r>
          <w:fldChar w:fldCharType="separate"/>
        </w:r>
        <w:r w:rsidR="00EA3361">
          <w:rPr>
            <w:noProof/>
          </w:rPr>
          <w:t>5</w:t>
        </w:r>
        <w:r>
          <w:fldChar w:fldCharType="end"/>
        </w:r>
      </w:p>
    </w:sdtContent>
  </w:sdt>
  <w:p w:rsidR="00E27C7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0C83">
    <w:pPr>
      <w:pStyle w:val="Header"/>
      <w:framePr w:wrap="around" w:hAnchor="text" w:xAlign="center" w:y="1"/>
      <w:rPr>
        <w:rStyle w:val="PageNumber"/>
      </w:rPr>
    </w:pPr>
    <w:r>
      <w:fldChar w:fldCharType="begin"/>
    </w:r>
    <w:r>
      <w:rPr>
        <w:rStyle w:val="PageNumber"/>
      </w:rPr>
      <w:instrText xml:space="preserve">PAGE  </w:instrText>
    </w:r>
    <w:r>
      <w:rPr>
        <w:rStyle w:val="PageNumber"/>
      </w:rPr>
      <w:fldChar w:fldCharType="separate"/>
    </w:r>
    <w:r>
      <w:rPr>
        <w:rStyle w:val="PageNumber"/>
      </w:rPr>
      <w:t>#</w:t>
    </w:r>
    <w:r>
      <w:rPr>
        <w:rStyle w:val="PageNumber"/>
      </w:rPr>
      <w:fldChar w:fldCharType="end"/>
    </w:r>
  </w:p>
  <w:p w:rsidR="00EE0C83">
    <w:pPr>
      <w:pStyle w:val="Header"/>
      <w:rPr>
        <w:rStyle w:val="PageNumbe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C83"/>
    <w:rsid w:val="0000271C"/>
    <w:rsid w:val="00002854"/>
    <w:rsid w:val="00042DB4"/>
    <w:rsid w:val="00081131"/>
    <w:rsid w:val="000A2D8D"/>
    <w:rsid w:val="000B7FF8"/>
    <w:rsid w:val="000D10A9"/>
    <w:rsid w:val="000E0867"/>
    <w:rsid w:val="000F1AD0"/>
    <w:rsid w:val="00112819"/>
    <w:rsid w:val="0015404E"/>
    <w:rsid w:val="001A4FCA"/>
    <w:rsid w:val="001B2654"/>
    <w:rsid w:val="002461C3"/>
    <w:rsid w:val="00266BE3"/>
    <w:rsid w:val="002844A1"/>
    <w:rsid w:val="00292717"/>
    <w:rsid w:val="002A058B"/>
    <w:rsid w:val="002B10E7"/>
    <w:rsid w:val="002B133E"/>
    <w:rsid w:val="003129E5"/>
    <w:rsid w:val="00313D0B"/>
    <w:rsid w:val="00374245"/>
    <w:rsid w:val="004204BA"/>
    <w:rsid w:val="0047360B"/>
    <w:rsid w:val="004825BB"/>
    <w:rsid w:val="004A4BE5"/>
    <w:rsid w:val="0051237A"/>
    <w:rsid w:val="00566235"/>
    <w:rsid w:val="00570E3C"/>
    <w:rsid w:val="00581F7B"/>
    <w:rsid w:val="005C0F84"/>
    <w:rsid w:val="005C2EB6"/>
    <w:rsid w:val="005D3A74"/>
    <w:rsid w:val="005D6968"/>
    <w:rsid w:val="00633380"/>
    <w:rsid w:val="00651EAE"/>
    <w:rsid w:val="006D24E8"/>
    <w:rsid w:val="006D3283"/>
    <w:rsid w:val="00742B46"/>
    <w:rsid w:val="0075104C"/>
    <w:rsid w:val="00754C3B"/>
    <w:rsid w:val="0076779A"/>
    <w:rsid w:val="007771A9"/>
    <w:rsid w:val="00780D64"/>
    <w:rsid w:val="007C4C15"/>
    <w:rsid w:val="007F36D0"/>
    <w:rsid w:val="008166F2"/>
    <w:rsid w:val="00820A01"/>
    <w:rsid w:val="008224A0"/>
    <w:rsid w:val="008464EE"/>
    <w:rsid w:val="00871939"/>
    <w:rsid w:val="0089254C"/>
    <w:rsid w:val="008D4635"/>
    <w:rsid w:val="008E0E90"/>
    <w:rsid w:val="008E17B7"/>
    <w:rsid w:val="008E6B94"/>
    <w:rsid w:val="0092113A"/>
    <w:rsid w:val="0094036F"/>
    <w:rsid w:val="009F30FA"/>
    <w:rsid w:val="00A7560A"/>
    <w:rsid w:val="00A75C1C"/>
    <w:rsid w:val="00A80C5D"/>
    <w:rsid w:val="00A8728D"/>
    <w:rsid w:val="00AA12CC"/>
    <w:rsid w:val="00AD0401"/>
    <w:rsid w:val="00AF612E"/>
    <w:rsid w:val="00B106A3"/>
    <w:rsid w:val="00B431D0"/>
    <w:rsid w:val="00B54B8E"/>
    <w:rsid w:val="00B57FD5"/>
    <w:rsid w:val="00BB5BEF"/>
    <w:rsid w:val="00BC33A2"/>
    <w:rsid w:val="00BC49EC"/>
    <w:rsid w:val="00C23D8B"/>
    <w:rsid w:val="00C605BC"/>
    <w:rsid w:val="00C60C02"/>
    <w:rsid w:val="00CE4C60"/>
    <w:rsid w:val="00CF56C1"/>
    <w:rsid w:val="00D33FB6"/>
    <w:rsid w:val="00D5104F"/>
    <w:rsid w:val="00D81C6B"/>
    <w:rsid w:val="00DC2093"/>
    <w:rsid w:val="00DE3EA7"/>
    <w:rsid w:val="00DF650D"/>
    <w:rsid w:val="00E27C23"/>
    <w:rsid w:val="00E27C70"/>
    <w:rsid w:val="00E36BFB"/>
    <w:rsid w:val="00E63769"/>
    <w:rsid w:val="00E65EC7"/>
    <w:rsid w:val="00E827AB"/>
    <w:rsid w:val="00E91D1F"/>
    <w:rsid w:val="00EA1962"/>
    <w:rsid w:val="00EA3361"/>
    <w:rsid w:val="00EB545A"/>
    <w:rsid w:val="00EC1483"/>
    <w:rsid w:val="00EE0C83"/>
    <w:rsid w:val="00EE213E"/>
    <w:rsid w:val="00F424AE"/>
    <w:rsid w:val="00F55A71"/>
    <w:rsid w:val="00F85B0F"/>
    <w:rsid w:val="00F95ADB"/>
    <w:rsid w:val="00FC7FEC"/>
    <w:rsid w:val="00FE08D1"/>
    <w:rsid w:val="00FF270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docId w15:val="{4E713EB9-9D50-455A-976E-A0584ED0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style>
  <w:style w:type="paragraph" w:styleId="Heading1">
    <w:name w:val="heading 1"/>
    <w:basedOn w:val="Normal"/>
    <w:next w:val="Normal"/>
    <w:link w:val="10"/>
    <w:qFormat/>
    <w:pPr>
      <w:widowControl/>
      <w:spacing w:before="108" w:after="108"/>
      <w:jc w:val="center"/>
      <w:outlineLvl w:val="0"/>
    </w:pPr>
    <w:rPr>
      <w:rFonts w:ascii="Arial" w:hAnsi="Arial"/>
      <w:b/>
      <w:color w:val="00008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77"/>
        <w:tab w:val="right" w:pos="9355"/>
      </w:tabs>
    </w:pPr>
  </w:style>
  <w:style w:type="paragraph" w:styleId="BodyText2">
    <w:name w:val="Body Text 2"/>
    <w:basedOn w:val="Normal"/>
    <w:link w:val="20"/>
    <w:pPr>
      <w:spacing w:after="120" w:line="480" w:lineRule="auto"/>
    </w:pPr>
  </w:style>
  <w:style w:type="paragraph" w:styleId="BodyTextIndent3">
    <w:name w:val="Body Text Indent 3"/>
    <w:basedOn w:val="Normal"/>
    <w:link w:val="3"/>
    <w:pPr>
      <w:widowControl/>
      <w:ind w:firstLine="720"/>
      <w:jc w:val="both"/>
    </w:pPr>
    <w:rPr>
      <w:sz w:val="24"/>
    </w:rPr>
  </w:style>
  <w:style w:type="paragraph" w:styleId="BodyText3">
    <w:name w:val="Body Text 3"/>
    <w:basedOn w:val="Normal"/>
    <w:link w:val="30"/>
    <w:pPr>
      <w:spacing w:after="120"/>
    </w:pPr>
    <w:rPr>
      <w:sz w:val="16"/>
    </w:rPr>
  </w:style>
  <w:style w:type="paragraph" w:styleId="BodyText">
    <w:name w:val="Body Text"/>
    <w:basedOn w:val="Normal"/>
    <w:link w:val="a2"/>
    <w:pPr>
      <w:spacing w:after="120"/>
    </w:pPr>
  </w:style>
  <w:style w:type="paragraph" w:styleId="BalloonText">
    <w:name w:val="Balloon Text"/>
    <w:basedOn w:val="Normal"/>
    <w:link w:val="a0"/>
    <w:rPr>
      <w:rFonts w:ascii="Tahoma" w:hAnsi="Tahoma"/>
      <w:sz w:val="16"/>
    </w:rPr>
  </w:style>
  <w:style w:type="paragraph" w:styleId="Footer">
    <w:name w:val="footer"/>
    <w:basedOn w:val="Normal"/>
    <w:link w:val="a3"/>
    <w:uiPriority w:val="99"/>
    <w:pPr>
      <w:tabs>
        <w:tab w:val="center" w:pos="4677"/>
        <w:tab w:val="right" w:pos="9355"/>
      </w:tabs>
    </w:pPr>
  </w:style>
  <w:style w:type="paragraph" w:styleId="BodyTextIndent">
    <w:name w:val="Body Text Indent"/>
    <w:basedOn w:val="Normal"/>
    <w:link w:val="a4"/>
    <w:pPr>
      <w:spacing w:after="120"/>
      <w:ind w:left="283"/>
    </w:pPr>
  </w:style>
  <w:style w:type="paragraph" w:customStyle="1" w:styleId="1">
    <w:name w:val="Основной текст1"/>
    <w:basedOn w:val="Normal"/>
    <w:link w:val="a1"/>
    <w:pPr>
      <w:shd w:val="clear" w:color="auto" w:fill="FFFFFF"/>
      <w:spacing w:after="120" w:line="0" w:lineRule="atLeast"/>
      <w:jc w:val="both"/>
    </w:pPr>
    <w:rPr>
      <w:sz w:val="34"/>
    </w:rPr>
  </w:style>
  <w:style w:type="paragraph" w:customStyle="1" w:styleId="2">
    <w:name w:val="Основной текст (2)"/>
    <w:basedOn w:val="Normal"/>
    <w:link w:val="21"/>
    <w:pPr>
      <w:shd w:val="clear" w:color="auto" w:fill="FFFFFF"/>
      <w:spacing w:line="0" w:lineRule="atLeast"/>
    </w:p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Гипертекстовая ссылка"/>
    <w:rPr>
      <w:color w:val="008000"/>
    </w:rPr>
  </w:style>
  <w:style w:type="character" w:customStyle="1" w:styleId="3">
    <w:name w:val="Основной текст с отступом 3 Знак"/>
    <w:link w:val="BodyTextIndent3"/>
    <w:rPr>
      <w:sz w:val="24"/>
    </w:rPr>
  </w:style>
  <w:style w:type="character" w:customStyle="1" w:styleId="20">
    <w:name w:val="Основной текст 2 Знак"/>
    <w:link w:val="BodyText2"/>
    <w:rPr>
      <w:sz w:val="28"/>
    </w:rPr>
  </w:style>
  <w:style w:type="character" w:customStyle="1" w:styleId="30">
    <w:name w:val="Основной текст 3 Знак"/>
    <w:link w:val="BodyText3"/>
    <w:rPr>
      <w:sz w:val="16"/>
    </w:rPr>
  </w:style>
  <w:style w:type="character" w:customStyle="1" w:styleId="10">
    <w:name w:val="Заголовок 1 Знак"/>
    <w:link w:val="Heading1"/>
    <w:rPr>
      <w:rFonts w:ascii="Arial" w:hAnsi="Arial"/>
      <w:b/>
      <w:color w:val="000080"/>
      <w:sz w:val="24"/>
    </w:rPr>
  </w:style>
  <w:style w:type="character" w:customStyle="1" w:styleId="a0">
    <w:name w:val="Текст выноски Знак"/>
    <w:link w:val="BalloonText"/>
    <w:rPr>
      <w:rFonts w:ascii="Tahoma" w:hAnsi="Tahoma"/>
      <w:sz w:val="16"/>
    </w:rPr>
  </w:style>
  <w:style w:type="character" w:customStyle="1" w:styleId="a1">
    <w:name w:val="Основной текст_"/>
    <w:link w:val="1"/>
    <w:rPr>
      <w:sz w:val="34"/>
    </w:rPr>
  </w:style>
  <w:style w:type="character" w:customStyle="1" w:styleId="21">
    <w:name w:val="Основной текст (2)_"/>
    <w:link w:val="2"/>
  </w:style>
  <w:style w:type="character" w:styleId="PageNumber">
    <w:name w:val="page number"/>
    <w:basedOn w:val="DefaultParagraphFont"/>
  </w:style>
  <w:style w:type="character" w:customStyle="1" w:styleId="a2">
    <w:name w:val="Основной текст Знак"/>
    <w:basedOn w:val="DefaultParagraphFont"/>
    <w:link w:val="BodyText"/>
  </w:style>
  <w:style w:type="character" w:customStyle="1" w:styleId="a3">
    <w:name w:val="Нижний колонтитул Знак"/>
    <w:basedOn w:val="DefaultParagraphFont"/>
    <w:link w:val="Footer"/>
    <w:uiPriority w:val="99"/>
  </w:style>
  <w:style w:type="character" w:customStyle="1" w:styleId="a4">
    <w:name w:val="Основной текст с отступом Знак"/>
    <w:basedOn w:val="DefaultParagraphFont"/>
    <w:link w:val="BodyTextIndent"/>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mi-callto">
    <w:name w:val="wmi-callto"/>
    <w:basedOn w:val="DefaultParagraphFont"/>
    <w:rsid w:val="00002854"/>
  </w:style>
  <w:style w:type="paragraph" w:customStyle="1" w:styleId="210">
    <w:name w:val="Основной текст 21"/>
    <w:basedOn w:val="Normal"/>
    <w:rsid w:val="00002854"/>
    <w:pPr>
      <w:widowControl/>
      <w:jc w:val="center"/>
    </w:pPr>
    <w:rPr>
      <w:sz w:val="28"/>
    </w:rPr>
  </w:style>
  <w:style w:type="character" w:customStyle="1" w:styleId="11">
    <w:name w:val="Основной шрифт абзаца1"/>
    <w:rsid w:val="00002854"/>
  </w:style>
  <w:style w:type="paragraph" w:customStyle="1" w:styleId="12">
    <w:name w:val="Обычный1"/>
    <w:qFormat/>
    <w:rsid w:val="00002854"/>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FE188-0CC6-49AA-91B2-D38DABC20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